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2BE" w:rsidRPr="00A362BE" w:rsidRDefault="00A362BE" w:rsidP="00A362BE">
      <w:pPr>
        <w:shd w:val="clear" w:color="auto" w:fill="FFFFFF"/>
        <w:spacing w:after="0" w:line="240" w:lineRule="auto"/>
        <w:outlineLvl w:val="0"/>
        <w:rPr>
          <w:rFonts w:ascii="Arial" w:eastAsia="Times New Roman" w:hAnsi="Arial" w:cs="Arial"/>
          <w:b/>
          <w:bCs/>
          <w:noProof/>
          <w:color w:val="008000"/>
          <w:kern w:val="36"/>
          <w:sz w:val="48"/>
          <w:szCs w:val="48"/>
        </w:rPr>
      </w:pPr>
      <w:r w:rsidRPr="00A362BE">
        <w:rPr>
          <w:rFonts w:ascii="Arial" w:eastAsia="Times New Roman" w:hAnsi="Arial" w:cs="Arial"/>
          <w:b/>
          <w:bCs/>
          <w:noProof/>
          <w:color w:val="008000"/>
          <w:kern w:val="36"/>
          <w:sz w:val="48"/>
          <w:szCs w:val="48"/>
        </w:rPr>
        <w:t>Brief Overview of Atypical Hemolytic Uremic Syndrome</w:t>
      </w:r>
    </w:p>
    <w:p w:rsidR="00A362BE" w:rsidRPr="00A362BE" w:rsidRDefault="00A362BE" w:rsidP="00A362BE">
      <w:pPr>
        <w:shd w:val="clear" w:color="auto" w:fill="FFFFFF"/>
        <w:spacing w:after="0" w:line="240" w:lineRule="auto"/>
        <w:rPr>
          <w:rFonts w:ascii="Arial" w:eastAsia="Times New Roman" w:hAnsi="Arial" w:cs="Arial"/>
          <w:noProof/>
          <w:color w:val="666666"/>
          <w:sz w:val="18"/>
          <w:szCs w:val="18"/>
        </w:rPr>
      </w:pPr>
      <w:r w:rsidRPr="00A362BE">
        <w:rPr>
          <w:rFonts w:ascii="Arial" w:eastAsia="Times New Roman" w:hAnsi="Arial" w:cs="Arial"/>
          <w:noProof/>
          <w:color w:val="666666"/>
          <w:sz w:val="18"/>
          <w:szCs w:val="18"/>
        </w:rPr>
        <w:t xml:space="preserve">Christin Melton, ELS, CMPP  </w:t>
      </w:r>
      <w:r w:rsidRPr="00A362BE">
        <w:rPr>
          <w:rFonts w:ascii="Arial" w:eastAsia="Times New Roman" w:hAnsi="Arial" w:cs="Arial"/>
          <w:b/>
          <w:bCs/>
          <w:noProof/>
          <w:color w:val="666666"/>
          <w:sz w:val="18"/>
          <w:szCs w:val="18"/>
        </w:rPr>
        <w:t>Published Online:</w:t>
      </w:r>
      <w:r w:rsidRPr="00A362BE">
        <w:rPr>
          <w:rFonts w:ascii="Arial" w:eastAsia="Times New Roman" w:hAnsi="Arial" w:cs="Arial"/>
          <w:noProof/>
          <w:color w:val="666666"/>
          <w:sz w:val="18"/>
        </w:rPr>
        <w:t> </w:t>
      </w:r>
      <w:r w:rsidRPr="00A362BE">
        <w:rPr>
          <w:rFonts w:ascii="Arial" w:eastAsia="Times New Roman" w:hAnsi="Arial" w:cs="Arial"/>
          <w:noProof/>
          <w:color w:val="666666"/>
          <w:sz w:val="18"/>
          <w:szCs w:val="18"/>
        </w:rPr>
        <w:t>Saturday, Mar 07, 2015</w:t>
      </w:r>
    </w:p>
    <w:p w:rsidR="00A362BE" w:rsidRPr="00A362BE" w:rsidRDefault="00A362BE" w:rsidP="00A362BE">
      <w:pPr>
        <w:shd w:val="clear" w:color="auto" w:fill="FFFFFF"/>
        <w:spacing w:after="0" w:line="240" w:lineRule="auto"/>
        <w:rPr>
          <w:rFonts w:ascii="Arial" w:eastAsia="Times New Roman" w:hAnsi="Arial" w:cs="Arial"/>
          <w:noProof/>
          <w:color w:val="666666"/>
          <w:sz w:val="18"/>
          <w:szCs w:val="18"/>
        </w:rPr>
      </w:pPr>
    </w:p>
    <w:p w:rsidR="00A362BE" w:rsidRPr="00A362BE" w:rsidRDefault="00A362BE" w:rsidP="00A362BE">
      <w:pPr>
        <w:shd w:val="clear" w:color="auto" w:fill="FFFFFF"/>
        <w:spacing w:after="0" w:line="240" w:lineRule="auto"/>
        <w:rPr>
          <w:rFonts w:ascii="Arial" w:eastAsia="Times New Roman" w:hAnsi="Arial" w:cs="Arial"/>
          <w:noProof/>
          <w:color w:val="666666"/>
          <w:sz w:val="18"/>
          <w:szCs w:val="18"/>
        </w:rPr>
      </w:pPr>
    </w:p>
    <w:p w:rsidR="009456E5" w:rsidRPr="00A362BE" w:rsidRDefault="00A362BE">
      <w:pPr>
        <w:rPr>
          <w:noProof/>
        </w:rPr>
      </w:pPr>
      <w:r w:rsidRPr="00A362BE">
        <w:rPr>
          <w:noProof/>
        </w:rPr>
        <w:drawing>
          <wp:inline distT="0" distB="0" distL="0" distR="0">
            <wp:extent cx="3724275" cy="2485954"/>
            <wp:effectExtent l="19050" t="0" r="9525" b="0"/>
            <wp:docPr id="1" name="Picture 1" descr="http://www.raredr.com/_media/_upload_image/ahus.jp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redr.com/_media/_upload_image/ahus.jpg.bmp"/>
                    <pic:cNvPicPr>
                      <a:picLocks noChangeAspect="1" noChangeArrowheads="1"/>
                    </pic:cNvPicPr>
                  </pic:nvPicPr>
                  <pic:blipFill>
                    <a:blip r:embed="rId5"/>
                    <a:srcRect/>
                    <a:stretch>
                      <a:fillRect/>
                    </a:stretch>
                  </pic:blipFill>
                  <pic:spPr bwMode="auto">
                    <a:xfrm>
                      <a:off x="0" y="0"/>
                      <a:ext cx="3725198" cy="2486570"/>
                    </a:xfrm>
                    <a:prstGeom prst="rect">
                      <a:avLst/>
                    </a:prstGeom>
                    <a:noFill/>
                    <a:ln w="9525">
                      <a:noFill/>
                      <a:miter lim="800000"/>
                      <a:headEnd/>
                      <a:tailEnd/>
                    </a:ln>
                  </pic:spPr>
                </pic:pic>
              </a:graphicData>
            </a:graphic>
          </wp:inline>
        </w:drawing>
      </w:r>
    </w:p>
    <w:p w:rsidR="00A362BE" w:rsidRPr="00A362BE" w:rsidRDefault="00A362BE" w:rsidP="00A362BE">
      <w:pPr>
        <w:rPr>
          <w:noProof/>
        </w:rPr>
      </w:pPr>
      <w:r w:rsidRPr="00A362BE">
        <w:rPr>
          <w:rFonts w:ascii="Arial" w:hAnsi="Arial" w:cs="Arial"/>
          <w:noProof/>
          <w:color w:val="000000"/>
          <w:sz w:val="23"/>
          <w:szCs w:val="23"/>
          <w:shd w:val="clear" w:color="auto" w:fill="FFFFFF"/>
        </w:rPr>
        <w:t>Atypical hemolytic-uremic syndrome (aHUS) is a systemic disease that primarily affects the kidneys. The rare condition is associated with genetic mutations or polymorphisms that result in chronic, uncontrolled activation of the alternative complement pathway.</w:t>
      </w:r>
      <w:r w:rsidRPr="00A362BE">
        <w:rPr>
          <w:rFonts w:ascii="Arial" w:hAnsi="Arial" w:cs="Arial"/>
          <w:noProof/>
          <w:color w:val="000000"/>
          <w:shd w:val="clear" w:color="auto" w:fill="FFFFFF"/>
          <w:vertAlign w:val="superscript"/>
        </w:rPr>
        <w:t>1</w:t>
      </w:r>
      <w:r w:rsidRPr="00A362BE">
        <w:rPr>
          <w:rStyle w:val="apple-converted-space"/>
          <w:rFonts w:ascii="Arial" w:hAnsi="Arial" w:cs="Arial"/>
          <w:noProof/>
          <w:color w:val="000000"/>
          <w:sz w:val="23"/>
          <w:szCs w:val="23"/>
          <w:shd w:val="clear" w:color="auto" w:fill="FFFFFF"/>
        </w:rPr>
        <w:t> </w:t>
      </w:r>
      <w:r w:rsidRPr="00A362BE">
        <w:rPr>
          <w:rFonts w:ascii="Arial" w:hAnsi="Arial" w:cs="Arial"/>
          <w:noProof/>
          <w:color w:val="000000"/>
          <w:sz w:val="23"/>
          <w:szCs w:val="23"/>
          <w:shd w:val="clear" w:color="auto" w:fill="FFFFFF"/>
        </w:rPr>
        <w:t>The dysregulated alternative complement pathway activation causes blood clot (thrombi) formation in the glomerular capillaries (groups of small blood vessels of the kidneys) and thickening of the glomerular capillary walls. Other possible changes include fibrinoid necrosis of the vessels that supply blood to the kidneys (afferent arterioles), mucoid intimal hyperplasia accompanied by narrowing of the vessel lumen, and fibrin deposits in the glomeruli and vessel walls.</w:t>
      </w:r>
      <w:r w:rsidRPr="00A362BE">
        <w:rPr>
          <w:rFonts w:ascii="Arial" w:hAnsi="Arial" w:cs="Arial"/>
          <w:noProof/>
          <w:color w:val="000000"/>
          <w:shd w:val="clear" w:color="auto" w:fill="FFFFFF"/>
          <w:vertAlign w:val="superscript"/>
        </w:rPr>
        <w:t>1</w:t>
      </w:r>
      <w:r w:rsidRPr="00A362BE">
        <w:rPr>
          <w:rFonts w:ascii="Arial" w:hAnsi="Arial" w:cs="Arial"/>
          <w:noProof/>
          <w:color w:val="000000"/>
          <w:sz w:val="23"/>
          <w:szCs w:val="23"/>
          <w:shd w:val="clear" w:color="auto" w:fill="FFFFFF"/>
        </w:rPr>
        <w:t>Hemolytic anemia and thrombocytopenia are typical with aHUS.</w:t>
      </w:r>
      <w:r w:rsidRPr="00A362BE">
        <w:rPr>
          <w:rFonts w:ascii="Arial" w:hAnsi="Arial" w:cs="Arial"/>
          <w:noProof/>
          <w:color w:val="000000"/>
          <w:sz w:val="23"/>
          <w:szCs w:val="23"/>
        </w:rPr>
        <w:br/>
      </w:r>
      <w:r w:rsidRPr="00A362BE">
        <w:rPr>
          <w:rFonts w:ascii="Arial" w:hAnsi="Arial" w:cs="Arial"/>
          <w:noProof/>
          <w:color w:val="000000"/>
          <w:sz w:val="23"/>
          <w:szCs w:val="23"/>
        </w:rPr>
        <w:br/>
      </w:r>
      <w:r w:rsidRPr="00A362BE">
        <w:rPr>
          <w:rFonts w:ascii="Arial" w:hAnsi="Arial" w:cs="Arial"/>
          <w:noProof/>
          <w:color w:val="000000"/>
          <w:sz w:val="23"/>
          <w:szCs w:val="23"/>
          <w:shd w:val="clear" w:color="auto" w:fill="FFFFFF"/>
        </w:rPr>
        <w:t>The prevalence of aHUS is approximately 2 in 1 million, and it accounts for an estimated 10% of HUS diagnoses.</w:t>
      </w:r>
      <w:r w:rsidRPr="00A362BE">
        <w:rPr>
          <w:rFonts w:ascii="Arial" w:hAnsi="Arial" w:cs="Arial"/>
          <w:noProof/>
          <w:color w:val="000000"/>
          <w:shd w:val="clear" w:color="auto" w:fill="FFFFFF"/>
          <w:vertAlign w:val="superscript"/>
        </w:rPr>
        <w:t>2</w:t>
      </w:r>
      <w:r w:rsidRPr="00A362BE">
        <w:rPr>
          <w:rStyle w:val="apple-converted-space"/>
          <w:rFonts w:ascii="Arial" w:hAnsi="Arial" w:cs="Arial"/>
          <w:noProof/>
          <w:color w:val="000000"/>
          <w:sz w:val="23"/>
          <w:szCs w:val="23"/>
          <w:shd w:val="clear" w:color="auto" w:fill="FFFFFF"/>
        </w:rPr>
        <w:t> </w:t>
      </w:r>
      <w:r w:rsidRPr="00A362BE">
        <w:rPr>
          <w:rFonts w:ascii="Arial" w:hAnsi="Arial" w:cs="Arial"/>
          <w:noProof/>
          <w:color w:val="000000"/>
          <w:sz w:val="23"/>
          <w:szCs w:val="23"/>
          <w:shd w:val="clear" w:color="auto" w:fill="FFFFFF"/>
        </w:rPr>
        <w:t>Although many gene abnormalities have been implicated in the pathogenesis of aHUS, 40% of patients have no known mutation.</w:t>
      </w:r>
      <w:r w:rsidRPr="00A362BE">
        <w:rPr>
          <w:rFonts w:ascii="Arial" w:hAnsi="Arial" w:cs="Arial"/>
          <w:noProof/>
          <w:color w:val="000000"/>
          <w:shd w:val="clear" w:color="auto" w:fill="FFFFFF"/>
          <w:vertAlign w:val="superscript"/>
        </w:rPr>
        <w:t>3</w:t>
      </w:r>
      <w:r w:rsidRPr="00A362BE">
        <w:rPr>
          <w:rStyle w:val="apple-converted-space"/>
          <w:rFonts w:ascii="Arial" w:hAnsi="Arial" w:cs="Arial"/>
          <w:noProof/>
          <w:color w:val="000000"/>
          <w:sz w:val="23"/>
          <w:szCs w:val="23"/>
          <w:shd w:val="clear" w:color="auto" w:fill="FFFFFF"/>
        </w:rPr>
        <w:t> </w:t>
      </w:r>
      <w:r w:rsidRPr="00A362BE">
        <w:rPr>
          <w:rFonts w:ascii="Arial" w:hAnsi="Arial" w:cs="Arial"/>
          <w:noProof/>
          <w:color w:val="000000"/>
          <w:sz w:val="23"/>
          <w:szCs w:val="23"/>
          <w:shd w:val="clear" w:color="auto" w:fill="FFFFFF"/>
        </w:rPr>
        <w:t>The most prevalent mutation is</w:t>
      </w:r>
      <w:r w:rsidRPr="00A362BE">
        <w:rPr>
          <w:rStyle w:val="apple-converted-space"/>
          <w:rFonts w:ascii="Arial" w:hAnsi="Arial" w:cs="Arial"/>
          <w:noProof/>
          <w:color w:val="000000"/>
          <w:sz w:val="23"/>
          <w:szCs w:val="23"/>
          <w:shd w:val="clear" w:color="auto" w:fill="FFFFFF"/>
        </w:rPr>
        <w:t> </w:t>
      </w:r>
      <w:r w:rsidRPr="00A362BE">
        <w:rPr>
          <w:rStyle w:val="Emphasis"/>
          <w:rFonts w:ascii="Arial" w:hAnsi="Arial" w:cs="Arial"/>
          <w:noProof/>
          <w:color w:val="000000"/>
          <w:sz w:val="23"/>
          <w:szCs w:val="23"/>
          <w:shd w:val="clear" w:color="auto" w:fill="FFFFFF"/>
        </w:rPr>
        <w:t>CFH</w:t>
      </w:r>
      <w:r w:rsidRPr="00A362BE">
        <w:rPr>
          <w:rFonts w:ascii="Arial" w:hAnsi="Arial" w:cs="Arial"/>
          <w:noProof/>
          <w:color w:val="000000"/>
          <w:sz w:val="23"/>
          <w:szCs w:val="23"/>
          <w:shd w:val="clear" w:color="auto" w:fill="FFFFFF"/>
        </w:rPr>
        <w:t>, which is identified in 25% to 30% of cases.</w:t>
      </w:r>
      <w:r w:rsidRPr="00A362BE">
        <w:rPr>
          <w:rFonts w:ascii="Arial" w:hAnsi="Arial" w:cs="Arial"/>
          <w:noProof/>
          <w:color w:val="000000"/>
          <w:shd w:val="clear" w:color="auto" w:fill="FFFFFF"/>
          <w:vertAlign w:val="superscript"/>
        </w:rPr>
        <w:t>1,4</w:t>
      </w:r>
      <w:r w:rsidRPr="00A362BE">
        <w:rPr>
          <w:rStyle w:val="apple-converted-space"/>
          <w:rFonts w:ascii="Arial" w:hAnsi="Arial" w:cs="Arial"/>
          <w:noProof/>
          <w:color w:val="000000"/>
          <w:sz w:val="23"/>
          <w:szCs w:val="23"/>
          <w:shd w:val="clear" w:color="auto" w:fill="FFFFFF"/>
        </w:rPr>
        <w:t> </w:t>
      </w:r>
      <w:r w:rsidRPr="00A362BE">
        <w:rPr>
          <w:rFonts w:ascii="Arial" w:hAnsi="Arial" w:cs="Arial"/>
          <w:noProof/>
          <w:color w:val="000000"/>
          <w:sz w:val="23"/>
          <w:szCs w:val="23"/>
          <w:shd w:val="clear" w:color="auto" w:fill="FFFFFF"/>
        </w:rPr>
        <w:t>Other more common mutations are</w:t>
      </w:r>
      <w:r w:rsidRPr="00A362BE">
        <w:rPr>
          <w:rStyle w:val="apple-converted-space"/>
          <w:rFonts w:ascii="Arial" w:hAnsi="Arial" w:cs="Arial"/>
          <w:noProof/>
          <w:color w:val="000000"/>
          <w:sz w:val="23"/>
          <w:szCs w:val="23"/>
          <w:shd w:val="clear" w:color="auto" w:fill="FFFFFF"/>
        </w:rPr>
        <w:t> </w:t>
      </w:r>
      <w:r w:rsidRPr="00A362BE">
        <w:rPr>
          <w:rStyle w:val="Emphasis"/>
          <w:rFonts w:ascii="Arial" w:hAnsi="Arial" w:cs="Arial"/>
          <w:noProof/>
          <w:color w:val="000000"/>
          <w:sz w:val="23"/>
          <w:szCs w:val="23"/>
          <w:shd w:val="clear" w:color="auto" w:fill="FFFFFF"/>
        </w:rPr>
        <w:t>CFI</w:t>
      </w:r>
      <w:r w:rsidRPr="00A362BE">
        <w:rPr>
          <w:rFonts w:ascii="Arial" w:hAnsi="Arial" w:cs="Arial"/>
          <w:noProof/>
          <w:color w:val="000000"/>
          <w:sz w:val="23"/>
          <w:szCs w:val="23"/>
          <w:shd w:val="clear" w:color="auto" w:fill="FFFFFF"/>
        </w:rPr>
        <w:t>,</w:t>
      </w:r>
      <w:r w:rsidRPr="00A362BE">
        <w:rPr>
          <w:rStyle w:val="apple-converted-space"/>
          <w:rFonts w:ascii="Arial" w:hAnsi="Arial" w:cs="Arial"/>
          <w:noProof/>
          <w:color w:val="000000"/>
          <w:sz w:val="23"/>
          <w:szCs w:val="23"/>
          <w:shd w:val="clear" w:color="auto" w:fill="FFFFFF"/>
        </w:rPr>
        <w:t> </w:t>
      </w:r>
      <w:r w:rsidRPr="00A362BE">
        <w:rPr>
          <w:rStyle w:val="Emphasis"/>
          <w:rFonts w:ascii="Arial" w:hAnsi="Arial" w:cs="Arial"/>
          <w:noProof/>
          <w:color w:val="000000"/>
          <w:sz w:val="23"/>
          <w:szCs w:val="23"/>
          <w:shd w:val="clear" w:color="auto" w:fill="FFFFFF"/>
        </w:rPr>
        <w:t>MCP</w:t>
      </w:r>
      <w:r w:rsidRPr="00A362BE">
        <w:rPr>
          <w:rFonts w:ascii="Arial" w:hAnsi="Arial" w:cs="Arial"/>
          <w:noProof/>
          <w:color w:val="000000"/>
          <w:sz w:val="23"/>
          <w:szCs w:val="23"/>
          <w:shd w:val="clear" w:color="auto" w:fill="FFFFFF"/>
        </w:rPr>
        <w:t>, and</w:t>
      </w:r>
      <w:r w:rsidRPr="00A362BE">
        <w:rPr>
          <w:rStyle w:val="Emphasis"/>
          <w:rFonts w:ascii="Arial" w:hAnsi="Arial" w:cs="Arial"/>
          <w:noProof/>
          <w:color w:val="000000"/>
          <w:sz w:val="23"/>
          <w:szCs w:val="23"/>
          <w:shd w:val="clear" w:color="auto" w:fill="FFFFFF"/>
        </w:rPr>
        <w:t>C3</w:t>
      </w:r>
      <w:r w:rsidRPr="00A362BE">
        <w:rPr>
          <w:rFonts w:ascii="Arial" w:hAnsi="Arial" w:cs="Arial"/>
          <w:noProof/>
          <w:color w:val="000000"/>
          <w:sz w:val="23"/>
          <w:szCs w:val="23"/>
          <w:shd w:val="clear" w:color="auto" w:fill="FFFFFF"/>
        </w:rPr>
        <w:t>. Only 20% of mutations appear to be inherited; the rest are acquired. Patients may have more than 1 mutation.</w:t>
      </w:r>
      <w:r w:rsidRPr="00A362BE">
        <w:rPr>
          <w:rFonts w:ascii="Arial" w:hAnsi="Arial" w:cs="Arial"/>
          <w:noProof/>
          <w:color w:val="000000"/>
          <w:sz w:val="23"/>
          <w:szCs w:val="23"/>
        </w:rPr>
        <w:br/>
      </w:r>
      <w:r w:rsidRPr="00A362BE">
        <w:rPr>
          <w:rFonts w:ascii="Arial" w:hAnsi="Arial" w:cs="Arial"/>
          <w:noProof/>
          <w:color w:val="000000"/>
          <w:sz w:val="23"/>
          <w:szCs w:val="23"/>
        </w:rPr>
        <w:br/>
      </w:r>
      <w:r w:rsidRPr="00A362BE">
        <w:rPr>
          <w:rFonts w:ascii="Arial" w:hAnsi="Arial" w:cs="Arial"/>
          <w:noProof/>
          <w:color w:val="000000"/>
          <w:sz w:val="23"/>
          <w:szCs w:val="23"/>
          <w:shd w:val="clear" w:color="auto" w:fill="FFFFFF"/>
        </w:rPr>
        <w:t>Environmental triggers also appear to play a role in aHUS, as individuals who have a mutation at birth often do not develop symptoms until adulthood.</w:t>
      </w:r>
      <w:r w:rsidRPr="00A362BE">
        <w:rPr>
          <w:rFonts w:ascii="Arial" w:hAnsi="Arial" w:cs="Arial"/>
          <w:noProof/>
          <w:color w:val="000000"/>
          <w:shd w:val="clear" w:color="auto" w:fill="FFFFFF"/>
          <w:vertAlign w:val="superscript"/>
        </w:rPr>
        <w:t>1,3</w:t>
      </w:r>
      <w:r w:rsidRPr="00A362BE">
        <w:rPr>
          <w:rFonts w:ascii="Arial" w:hAnsi="Arial" w:cs="Arial"/>
          <w:noProof/>
          <w:color w:val="000000"/>
          <w:sz w:val="23"/>
          <w:szCs w:val="23"/>
          <w:shd w:val="clear" w:color="auto" w:fill="FFFFFF"/>
        </w:rPr>
        <w:t>Onset of aHUS in middle-age is common. Respiratory and gastrointestinal infections, certain medications, chronic diseases, cancer, pregnancy, or other conditions are believed to provoke unregulated, continual activation of the complement system in 50% of genetically susceptible individuals.</w:t>
      </w:r>
      <w:r w:rsidRPr="00A362BE">
        <w:rPr>
          <w:rFonts w:ascii="Arial" w:hAnsi="Arial" w:cs="Arial"/>
          <w:noProof/>
          <w:color w:val="000000"/>
          <w:shd w:val="clear" w:color="auto" w:fill="FFFFFF"/>
          <w:vertAlign w:val="superscript"/>
        </w:rPr>
        <w:t>5</w:t>
      </w:r>
      <w:r w:rsidRPr="00A362BE">
        <w:rPr>
          <w:rFonts w:ascii="Arial" w:hAnsi="Arial" w:cs="Arial"/>
          <w:noProof/>
          <w:color w:val="000000"/>
          <w:sz w:val="23"/>
          <w:szCs w:val="23"/>
        </w:rPr>
        <w:br/>
      </w:r>
      <w:r w:rsidRPr="00A362BE">
        <w:rPr>
          <w:rFonts w:ascii="Arial" w:hAnsi="Arial" w:cs="Arial"/>
          <w:noProof/>
          <w:color w:val="000000"/>
          <w:sz w:val="23"/>
          <w:szCs w:val="23"/>
        </w:rPr>
        <w:br/>
      </w:r>
      <w:r w:rsidRPr="00A362BE">
        <w:rPr>
          <w:rFonts w:ascii="Arial" w:hAnsi="Arial" w:cs="Arial"/>
          <w:noProof/>
          <w:color w:val="000000"/>
          <w:sz w:val="23"/>
          <w:szCs w:val="23"/>
          <w:shd w:val="clear" w:color="auto" w:fill="FFFFFF"/>
        </w:rPr>
        <w:lastRenderedPageBreak/>
        <w:t>Prognosis for patients with aHUS is poor. Patients whose aHUS is not diagnosed and treated within the first year of onset have a high risk of morbidity and mortality.</w:t>
      </w:r>
      <w:r w:rsidRPr="00A362BE">
        <w:rPr>
          <w:rFonts w:ascii="Arial" w:hAnsi="Arial" w:cs="Arial"/>
          <w:noProof/>
          <w:color w:val="000000"/>
          <w:shd w:val="clear" w:color="auto" w:fill="FFFFFF"/>
          <w:vertAlign w:val="superscript"/>
        </w:rPr>
        <w:t>1</w:t>
      </w:r>
      <w:r w:rsidRPr="00A362BE">
        <w:rPr>
          <w:rStyle w:val="apple-converted-space"/>
          <w:rFonts w:ascii="Arial" w:hAnsi="Arial" w:cs="Arial"/>
          <w:noProof/>
          <w:color w:val="000000"/>
          <w:sz w:val="23"/>
          <w:szCs w:val="23"/>
          <w:shd w:val="clear" w:color="auto" w:fill="FFFFFF"/>
        </w:rPr>
        <w:t> </w:t>
      </w:r>
      <w:r w:rsidRPr="00A362BE">
        <w:rPr>
          <w:rFonts w:ascii="Arial" w:hAnsi="Arial" w:cs="Arial"/>
          <w:noProof/>
          <w:color w:val="000000"/>
          <w:sz w:val="23"/>
          <w:szCs w:val="23"/>
          <w:shd w:val="clear" w:color="auto" w:fill="FFFFFF"/>
        </w:rPr>
        <w:t>One-half of patients with aHUS ultimately develop end-stage renal disease, which occurs in approximately 65% of adults and 36% to 48% of children within 3 to 5 years after diagnosis.</w:t>
      </w:r>
      <w:r w:rsidRPr="00A362BE">
        <w:rPr>
          <w:rFonts w:ascii="Arial" w:hAnsi="Arial" w:cs="Arial"/>
          <w:noProof/>
          <w:color w:val="000000"/>
          <w:shd w:val="clear" w:color="auto" w:fill="FFFFFF"/>
          <w:vertAlign w:val="superscript"/>
        </w:rPr>
        <w:t>1</w:t>
      </w:r>
      <w:r w:rsidRPr="00A362BE">
        <w:rPr>
          <w:rStyle w:val="apple-converted-space"/>
          <w:rFonts w:ascii="Arial" w:hAnsi="Arial" w:cs="Arial"/>
          <w:noProof/>
          <w:color w:val="000000"/>
          <w:sz w:val="23"/>
          <w:szCs w:val="23"/>
          <w:shd w:val="clear" w:color="auto" w:fill="FFFFFF"/>
        </w:rPr>
        <w:t> </w:t>
      </w:r>
      <w:r w:rsidRPr="00A362BE">
        <w:rPr>
          <w:rFonts w:ascii="Arial" w:hAnsi="Arial" w:cs="Arial"/>
          <w:noProof/>
          <w:color w:val="000000"/>
          <w:sz w:val="23"/>
          <w:szCs w:val="23"/>
          <w:shd w:val="clear" w:color="auto" w:fill="FFFFFF"/>
        </w:rPr>
        <w:t>Prognosis appears to correlate with the genetic subtype of disease: Patients with an</w:t>
      </w:r>
      <w:r w:rsidRPr="00A362BE">
        <w:rPr>
          <w:rStyle w:val="Emphasis"/>
          <w:rFonts w:ascii="Arial" w:hAnsi="Arial" w:cs="Arial"/>
          <w:noProof/>
          <w:color w:val="000000"/>
          <w:sz w:val="23"/>
          <w:szCs w:val="23"/>
          <w:shd w:val="clear" w:color="auto" w:fill="FFFFFF"/>
        </w:rPr>
        <w:t>MCP</w:t>
      </w:r>
      <w:r w:rsidRPr="00A362BE">
        <w:rPr>
          <w:rStyle w:val="apple-converted-space"/>
          <w:rFonts w:ascii="Arial" w:hAnsi="Arial" w:cs="Arial"/>
          <w:noProof/>
          <w:color w:val="000000"/>
          <w:sz w:val="23"/>
          <w:szCs w:val="23"/>
          <w:shd w:val="clear" w:color="auto" w:fill="FFFFFF"/>
        </w:rPr>
        <w:t> </w:t>
      </w:r>
      <w:r w:rsidRPr="00A362BE">
        <w:rPr>
          <w:rFonts w:ascii="Arial" w:hAnsi="Arial" w:cs="Arial"/>
          <w:noProof/>
          <w:color w:val="000000"/>
          <w:sz w:val="23"/>
          <w:szCs w:val="23"/>
          <w:shd w:val="clear" w:color="auto" w:fill="FFFFFF"/>
        </w:rPr>
        <w:t>mutation have the best outcomes, and patients with a</w:t>
      </w:r>
      <w:r w:rsidRPr="00A362BE">
        <w:rPr>
          <w:rStyle w:val="apple-converted-space"/>
          <w:rFonts w:ascii="Arial" w:hAnsi="Arial" w:cs="Arial"/>
          <w:noProof/>
          <w:color w:val="000000"/>
          <w:sz w:val="23"/>
          <w:szCs w:val="23"/>
          <w:shd w:val="clear" w:color="auto" w:fill="FFFFFF"/>
        </w:rPr>
        <w:t> </w:t>
      </w:r>
      <w:r w:rsidRPr="00A362BE">
        <w:rPr>
          <w:rStyle w:val="Emphasis"/>
          <w:rFonts w:ascii="Arial" w:hAnsi="Arial" w:cs="Arial"/>
          <w:noProof/>
          <w:color w:val="000000"/>
          <w:sz w:val="23"/>
          <w:szCs w:val="23"/>
          <w:shd w:val="clear" w:color="auto" w:fill="FFFFFF"/>
        </w:rPr>
        <w:t>CFH</w:t>
      </w:r>
      <w:r w:rsidRPr="00A362BE">
        <w:rPr>
          <w:rFonts w:ascii="Arial" w:hAnsi="Arial" w:cs="Arial"/>
          <w:noProof/>
          <w:color w:val="000000"/>
          <w:sz w:val="23"/>
          <w:szCs w:val="23"/>
          <w:shd w:val="clear" w:color="auto" w:fill="FFFFFF"/>
        </w:rPr>
        <w:t>,</w:t>
      </w:r>
      <w:r w:rsidRPr="00A362BE">
        <w:rPr>
          <w:rStyle w:val="apple-converted-space"/>
          <w:rFonts w:ascii="Arial" w:hAnsi="Arial" w:cs="Arial"/>
          <w:noProof/>
          <w:color w:val="000000"/>
          <w:sz w:val="23"/>
          <w:szCs w:val="23"/>
          <w:shd w:val="clear" w:color="auto" w:fill="FFFFFF"/>
        </w:rPr>
        <w:t> </w:t>
      </w:r>
      <w:r w:rsidRPr="00A362BE">
        <w:rPr>
          <w:rStyle w:val="Emphasis"/>
          <w:rFonts w:ascii="Arial" w:hAnsi="Arial" w:cs="Arial"/>
          <w:noProof/>
          <w:color w:val="000000"/>
          <w:sz w:val="23"/>
          <w:szCs w:val="23"/>
          <w:shd w:val="clear" w:color="auto" w:fill="FFFFFF"/>
        </w:rPr>
        <w:t>CFI</w:t>
      </w:r>
      <w:r w:rsidRPr="00A362BE">
        <w:rPr>
          <w:rFonts w:ascii="Arial" w:hAnsi="Arial" w:cs="Arial"/>
          <w:noProof/>
          <w:color w:val="000000"/>
          <w:sz w:val="23"/>
          <w:szCs w:val="23"/>
          <w:shd w:val="clear" w:color="auto" w:fill="FFFFFF"/>
        </w:rPr>
        <w:t>, or</w:t>
      </w:r>
      <w:r w:rsidRPr="00A362BE">
        <w:rPr>
          <w:rStyle w:val="apple-converted-space"/>
          <w:rFonts w:ascii="Arial" w:hAnsi="Arial" w:cs="Arial"/>
          <w:noProof/>
          <w:color w:val="000000"/>
          <w:sz w:val="23"/>
          <w:szCs w:val="23"/>
          <w:shd w:val="clear" w:color="auto" w:fill="FFFFFF"/>
        </w:rPr>
        <w:t> </w:t>
      </w:r>
      <w:r w:rsidRPr="00A362BE">
        <w:rPr>
          <w:rStyle w:val="Emphasis"/>
          <w:rFonts w:ascii="Arial" w:hAnsi="Arial" w:cs="Arial"/>
          <w:noProof/>
          <w:color w:val="000000"/>
          <w:sz w:val="23"/>
          <w:szCs w:val="23"/>
          <w:shd w:val="clear" w:color="auto" w:fill="FFFFFF"/>
        </w:rPr>
        <w:t>C3</w:t>
      </w:r>
      <w:r w:rsidRPr="00A362BE">
        <w:rPr>
          <w:rFonts w:ascii="Arial" w:hAnsi="Arial" w:cs="Arial"/>
          <w:noProof/>
          <w:color w:val="000000"/>
          <w:sz w:val="23"/>
          <w:szCs w:val="23"/>
          <w:shd w:val="clear" w:color="auto" w:fill="FFFFFF"/>
        </w:rPr>
        <w:t>mutation have poorer outcomes.</w:t>
      </w:r>
      <w:r w:rsidRPr="00A362BE">
        <w:rPr>
          <w:rFonts w:ascii="Arial" w:hAnsi="Arial" w:cs="Arial"/>
          <w:noProof/>
          <w:color w:val="000000"/>
          <w:shd w:val="clear" w:color="auto" w:fill="FFFFFF"/>
          <w:vertAlign w:val="superscript"/>
        </w:rPr>
        <w:t>4</w:t>
      </w:r>
      <w:r w:rsidRPr="00A362BE">
        <w:rPr>
          <w:rFonts w:ascii="Arial" w:hAnsi="Arial" w:cs="Arial"/>
          <w:noProof/>
          <w:color w:val="000000"/>
          <w:sz w:val="23"/>
          <w:szCs w:val="23"/>
        </w:rPr>
        <w:br/>
      </w:r>
      <w:r w:rsidRPr="00A362BE">
        <w:rPr>
          <w:rFonts w:ascii="Arial" w:hAnsi="Arial" w:cs="Arial"/>
          <w:noProof/>
          <w:color w:val="000000"/>
          <w:sz w:val="23"/>
          <w:szCs w:val="23"/>
        </w:rPr>
        <w:br/>
      </w:r>
      <w:r w:rsidRPr="00A362BE">
        <w:rPr>
          <w:rFonts w:ascii="Arial" w:hAnsi="Arial" w:cs="Arial"/>
          <w:noProof/>
          <w:color w:val="000000"/>
          <w:sz w:val="23"/>
          <w:szCs w:val="23"/>
          <w:shd w:val="clear" w:color="auto" w:fill="FFFFFF"/>
        </w:rPr>
        <w:t>Between 10% and 20% of patients have extra-renal manifestations.</w:t>
      </w:r>
      <w:r w:rsidRPr="00A362BE">
        <w:rPr>
          <w:rFonts w:ascii="Arial" w:hAnsi="Arial" w:cs="Arial"/>
          <w:noProof/>
          <w:color w:val="000000"/>
          <w:shd w:val="clear" w:color="auto" w:fill="FFFFFF"/>
          <w:vertAlign w:val="superscript"/>
        </w:rPr>
        <w:t>1</w:t>
      </w:r>
      <w:r w:rsidRPr="00A362BE">
        <w:rPr>
          <w:rStyle w:val="apple-converted-space"/>
          <w:rFonts w:ascii="Arial" w:hAnsi="Arial" w:cs="Arial"/>
          <w:noProof/>
          <w:color w:val="000000"/>
          <w:sz w:val="23"/>
          <w:szCs w:val="23"/>
          <w:shd w:val="clear" w:color="auto" w:fill="FFFFFF"/>
        </w:rPr>
        <w:t> </w:t>
      </w:r>
      <w:r w:rsidRPr="00A362BE">
        <w:rPr>
          <w:rFonts w:ascii="Arial" w:hAnsi="Arial" w:cs="Arial"/>
          <w:noProof/>
          <w:color w:val="000000"/>
          <w:sz w:val="23"/>
          <w:szCs w:val="23"/>
          <w:shd w:val="clear" w:color="auto" w:fill="FFFFFF"/>
        </w:rPr>
        <w:t>In these patients aHUS may affect the cardiovascular, gastrointestinal, or central nervous system. The most frequent extra-renal complications are neurologic, with studies suggesting that 16% of patients have neurologic involvement. Delayed treatment has been implicated in neurologic manifestations.</w:t>
      </w:r>
      <w:r w:rsidRPr="00A362BE">
        <w:rPr>
          <w:rFonts w:ascii="Arial" w:hAnsi="Arial" w:cs="Arial"/>
          <w:noProof/>
          <w:color w:val="000000"/>
          <w:shd w:val="clear" w:color="auto" w:fill="FFFFFF"/>
          <w:vertAlign w:val="superscript"/>
        </w:rPr>
        <w:t>6</w:t>
      </w:r>
      <w:r w:rsidRPr="00A362BE">
        <w:rPr>
          <w:rFonts w:ascii="Arial" w:hAnsi="Arial" w:cs="Arial"/>
          <w:noProof/>
          <w:color w:val="000000"/>
          <w:sz w:val="23"/>
          <w:szCs w:val="23"/>
        </w:rPr>
        <w:br/>
      </w:r>
      <w:r w:rsidRPr="00A362BE">
        <w:rPr>
          <w:rFonts w:ascii="Arial" w:hAnsi="Arial" w:cs="Arial"/>
          <w:noProof/>
          <w:color w:val="000000"/>
          <w:sz w:val="23"/>
          <w:szCs w:val="23"/>
        </w:rPr>
        <w:br/>
      </w:r>
      <w:r w:rsidRPr="00A362BE">
        <w:rPr>
          <w:rFonts w:ascii="Arial" w:hAnsi="Arial" w:cs="Arial"/>
          <w:noProof/>
          <w:color w:val="000000"/>
          <w:sz w:val="23"/>
          <w:szCs w:val="23"/>
          <w:shd w:val="clear" w:color="auto" w:fill="FFFFFF"/>
        </w:rPr>
        <w:t>aHUS, which is a type of major thrombotic microangiopathy (TMA), can be difficult to distinguish from other TMAs such as thrombotic thrombocytopenic purpura (TTP) and typical HUS due to the Shiga-like toxins produced by</w:t>
      </w:r>
      <w:r w:rsidRPr="00A362BE">
        <w:rPr>
          <w:rStyle w:val="Emphasis"/>
          <w:rFonts w:ascii="Arial" w:hAnsi="Arial" w:cs="Arial"/>
          <w:noProof/>
          <w:color w:val="000000"/>
          <w:sz w:val="23"/>
          <w:szCs w:val="23"/>
          <w:shd w:val="clear" w:color="auto" w:fill="FFFFFF"/>
        </w:rPr>
        <w:t>Escherichia coli</w:t>
      </w:r>
      <w:r w:rsidRPr="00A362BE">
        <w:rPr>
          <w:rFonts w:ascii="Arial" w:hAnsi="Arial" w:cs="Arial"/>
          <w:noProof/>
          <w:color w:val="000000"/>
          <w:sz w:val="23"/>
          <w:szCs w:val="23"/>
          <w:shd w:val="clear" w:color="auto" w:fill="FFFFFF"/>
        </w:rPr>
        <w:t>.</w:t>
      </w:r>
      <w:r w:rsidRPr="00A362BE">
        <w:rPr>
          <w:rFonts w:ascii="Arial" w:hAnsi="Arial" w:cs="Arial"/>
          <w:noProof/>
          <w:color w:val="000000"/>
          <w:shd w:val="clear" w:color="auto" w:fill="FFFFFF"/>
          <w:vertAlign w:val="superscript"/>
        </w:rPr>
        <w:t>7</w:t>
      </w:r>
      <w:r w:rsidRPr="00A362BE">
        <w:rPr>
          <w:rStyle w:val="apple-converted-space"/>
          <w:rFonts w:ascii="Arial" w:hAnsi="Arial" w:cs="Arial"/>
          <w:noProof/>
          <w:color w:val="000000"/>
          <w:sz w:val="23"/>
          <w:szCs w:val="23"/>
          <w:shd w:val="clear" w:color="auto" w:fill="FFFFFF"/>
        </w:rPr>
        <w:t> </w:t>
      </w:r>
      <w:r w:rsidRPr="00A362BE">
        <w:rPr>
          <w:rFonts w:ascii="Arial" w:hAnsi="Arial" w:cs="Arial"/>
          <w:noProof/>
          <w:color w:val="000000"/>
          <w:sz w:val="23"/>
          <w:szCs w:val="23"/>
          <w:shd w:val="clear" w:color="auto" w:fill="FFFFFF"/>
        </w:rPr>
        <w:t>Because these conditions are treated differently, conducting the appropriate tests is essential. Microbiological analysis can be used to rule out Shiga-associated HUS, and testing for thrombospondin type 1 motif, member 13 (ADAMTS13) activity can distinguish between TTP and aHUS. If ADAMTS13 activity is greater than 10%, aHUS is the probable diagnosis.</w:t>
      </w:r>
      <w:r w:rsidRPr="00A362BE">
        <w:rPr>
          <w:rFonts w:ascii="Arial" w:hAnsi="Arial" w:cs="Arial"/>
          <w:noProof/>
          <w:color w:val="000000"/>
          <w:shd w:val="clear" w:color="auto" w:fill="FFFFFF"/>
          <w:vertAlign w:val="superscript"/>
        </w:rPr>
        <w:t>6,7</w:t>
      </w:r>
      <w:r w:rsidRPr="00A362BE">
        <w:rPr>
          <w:rStyle w:val="apple-converted-space"/>
          <w:rFonts w:ascii="Arial" w:hAnsi="Arial" w:cs="Arial"/>
          <w:noProof/>
          <w:color w:val="000000"/>
          <w:sz w:val="23"/>
          <w:szCs w:val="23"/>
          <w:shd w:val="clear" w:color="auto" w:fill="FFFFFF"/>
        </w:rPr>
        <w:t> </w:t>
      </w:r>
      <w:r w:rsidRPr="00A362BE">
        <w:rPr>
          <w:rFonts w:ascii="Arial" w:hAnsi="Arial" w:cs="Arial"/>
          <w:noProof/>
          <w:color w:val="000000"/>
          <w:sz w:val="23"/>
          <w:szCs w:val="23"/>
          <w:shd w:val="clear" w:color="auto" w:fill="FFFFFF"/>
        </w:rPr>
        <w:t> </w:t>
      </w:r>
      <w:r w:rsidRPr="00A362BE">
        <w:rPr>
          <w:rFonts w:ascii="Arial" w:hAnsi="Arial" w:cs="Arial"/>
          <w:noProof/>
          <w:color w:val="000000"/>
          <w:sz w:val="23"/>
          <w:szCs w:val="23"/>
        </w:rPr>
        <w:br/>
      </w:r>
      <w:r w:rsidRPr="00A362BE">
        <w:rPr>
          <w:rFonts w:ascii="Arial" w:hAnsi="Arial" w:cs="Arial"/>
          <w:noProof/>
          <w:color w:val="000000"/>
          <w:sz w:val="23"/>
          <w:szCs w:val="23"/>
        </w:rPr>
        <w:br/>
      </w:r>
      <w:r w:rsidRPr="00A362BE">
        <w:rPr>
          <w:rFonts w:ascii="Arial" w:hAnsi="Arial" w:cs="Arial"/>
          <w:noProof/>
          <w:color w:val="000000"/>
          <w:sz w:val="23"/>
          <w:szCs w:val="23"/>
          <w:shd w:val="clear" w:color="auto" w:fill="FFFFFF"/>
        </w:rPr>
        <w:t>Patients were typically started on plasma exchange as soon as possible after diagnosis, which was continued until hemolysis was controlled.</w:t>
      </w:r>
      <w:r w:rsidRPr="00A362BE">
        <w:rPr>
          <w:rFonts w:ascii="Arial" w:hAnsi="Arial" w:cs="Arial"/>
          <w:noProof/>
          <w:color w:val="000000"/>
          <w:shd w:val="clear" w:color="auto" w:fill="FFFFFF"/>
          <w:vertAlign w:val="superscript"/>
        </w:rPr>
        <w:t>1</w:t>
      </w:r>
      <w:r w:rsidRPr="00A362BE">
        <w:rPr>
          <w:rFonts w:ascii="Arial" w:hAnsi="Arial" w:cs="Arial"/>
          <w:noProof/>
          <w:color w:val="000000"/>
          <w:sz w:val="23"/>
          <w:szCs w:val="23"/>
          <w:shd w:val="clear" w:color="auto" w:fill="FFFFFF"/>
        </w:rPr>
        <w:t>Outcomes with plasmapheresis in aHUS have been mixed, with some patients developing rare but serious complications.</w:t>
      </w:r>
      <w:r w:rsidRPr="00A362BE">
        <w:rPr>
          <w:rFonts w:ascii="Arial" w:hAnsi="Arial" w:cs="Arial"/>
          <w:noProof/>
          <w:color w:val="000000"/>
          <w:shd w:val="clear" w:color="auto" w:fill="FFFFFF"/>
          <w:vertAlign w:val="superscript"/>
        </w:rPr>
        <w:t>8</w:t>
      </w:r>
      <w:r w:rsidRPr="00A362BE">
        <w:rPr>
          <w:rStyle w:val="apple-converted-space"/>
          <w:rFonts w:ascii="Arial" w:hAnsi="Arial" w:cs="Arial"/>
          <w:noProof/>
          <w:color w:val="000000"/>
          <w:sz w:val="23"/>
          <w:szCs w:val="23"/>
          <w:shd w:val="clear" w:color="auto" w:fill="FFFFFF"/>
        </w:rPr>
        <w:t> </w:t>
      </w:r>
      <w:r w:rsidRPr="00A362BE">
        <w:rPr>
          <w:rFonts w:ascii="Arial" w:hAnsi="Arial" w:cs="Arial"/>
          <w:noProof/>
          <w:color w:val="000000"/>
          <w:sz w:val="23"/>
          <w:szCs w:val="23"/>
          <w:shd w:val="clear" w:color="auto" w:fill="FFFFFF"/>
        </w:rPr>
        <w:t>In 2011, the US Food and Drug Administration (FDA) approved eculizumab (Soliris) for children and adults with aHUS.</w:t>
      </w:r>
      <w:r w:rsidRPr="00A362BE">
        <w:rPr>
          <w:rFonts w:ascii="Arial" w:hAnsi="Arial" w:cs="Arial"/>
          <w:noProof/>
          <w:color w:val="000000"/>
          <w:sz w:val="23"/>
          <w:szCs w:val="23"/>
        </w:rPr>
        <w:br/>
      </w:r>
      <w:r w:rsidRPr="00A362BE">
        <w:rPr>
          <w:rFonts w:ascii="Arial" w:hAnsi="Arial" w:cs="Arial"/>
          <w:noProof/>
          <w:color w:val="000000"/>
          <w:sz w:val="23"/>
          <w:szCs w:val="23"/>
        </w:rPr>
        <w:br/>
      </w:r>
      <w:r w:rsidRPr="00A362BE">
        <w:rPr>
          <w:rFonts w:ascii="Arial" w:hAnsi="Arial" w:cs="Arial"/>
          <w:noProof/>
          <w:color w:val="000000"/>
          <w:sz w:val="23"/>
          <w:szCs w:val="23"/>
          <w:shd w:val="clear" w:color="auto" w:fill="FFFFFF"/>
        </w:rPr>
        <w:t>Eculizumab is a recombinant humanized monoclonal antibody that inhibits complement component 5 expression.</w:t>
      </w:r>
      <w:r w:rsidRPr="00A362BE">
        <w:rPr>
          <w:rFonts w:ascii="Arial" w:hAnsi="Arial" w:cs="Arial"/>
          <w:noProof/>
          <w:color w:val="000000"/>
          <w:shd w:val="clear" w:color="auto" w:fill="FFFFFF"/>
          <w:vertAlign w:val="superscript"/>
        </w:rPr>
        <w:t>2</w:t>
      </w:r>
      <w:r w:rsidRPr="00A362BE">
        <w:rPr>
          <w:rStyle w:val="apple-converted-space"/>
          <w:rFonts w:ascii="Arial" w:hAnsi="Arial" w:cs="Arial"/>
          <w:noProof/>
          <w:color w:val="000000"/>
          <w:sz w:val="23"/>
          <w:szCs w:val="23"/>
          <w:shd w:val="clear" w:color="auto" w:fill="FFFFFF"/>
        </w:rPr>
        <w:t> </w:t>
      </w:r>
      <w:r w:rsidRPr="00A362BE">
        <w:rPr>
          <w:rFonts w:ascii="Arial" w:hAnsi="Arial" w:cs="Arial"/>
          <w:noProof/>
          <w:color w:val="000000"/>
          <w:sz w:val="23"/>
          <w:szCs w:val="23"/>
          <w:shd w:val="clear" w:color="auto" w:fill="FFFFFF"/>
        </w:rPr>
        <w:t>Eculizumab is effective at improving thrombotic microangiopathy and reversing renal damage in patients with and without complement mutations. Data suggests that eculizumab may be more effective than plasma exchange at preserving kidney function, although no head-to-head study has been conducted.</w:t>
      </w:r>
      <w:r w:rsidRPr="00A362BE">
        <w:rPr>
          <w:rFonts w:ascii="Arial" w:hAnsi="Arial" w:cs="Arial"/>
          <w:noProof/>
          <w:color w:val="000000"/>
          <w:shd w:val="clear" w:color="auto" w:fill="FFFFFF"/>
          <w:vertAlign w:val="superscript"/>
        </w:rPr>
        <w:t>1</w:t>
      </w:r>
      <w:r w:rsidRPr="00A362BE">
        <w:rPr>
          <w:rStyle w:val="apple-converted-space"/>
          <w:rFonts w:ascii="Arial" w:hAnsi="Arial" w:cs="Arial"/>
          <w:noProof/>
          <w:color w:val="000000"/>
          <w:sz w:val="23"/>
          <w:szCs w:val="23"/>
          <w:shd w:val="clear" w:color="auto" w:fill="FFFFFF"/>
        </w:rPr>
        <w:t> </w:t>
      </w:r>
      <w:r w:rsidRPr="00A362BE">
        <w:rPr>
          <w:rFonts w:ascii="Arial" w:hAnsi="Arial" w:cs="Arial"/>
          <w:noProof/>
          <w:color w:val="000000"/>
          <w:sz w:val="23"/>
          <w:szCs w:val="23"/>
          <w:shd w:val="clear" w:color="auto" w:fill="FFFFFF"/>
        </w:rPr>
        <w:t>Some patients treated with eculizumab have developed meningococcal infections, and the drug must be administered under a Risk Evaluation and Mitigation Strategy.</w:t>
      </w:r>
      <w:r w:rsidRPr="00A362BE">
        <w:rPr>
          <w:rFonts w:ascii="Arial" w:hAnsi="Arial" w:cs="Arial"/>
          <w:noProof/>
          <w:color w:val="000000"/>
          <w:shd w:val="clear" w:color="auto" w:fill="FFFFFF"/>
          <w:vertAlign w:val="superscript"/>
        </w:rPr>
        <w:t>9</w:t>
      </w:r>
      <w:r w:rsidRPr="00A362BE">
        <w:rPr>
          <w:rStyle w:val="apple-converted-space"/>
          <w:rFonts w:ascii="Arial" w:hAnsi="Arial" w:cs="Arial"/>
          <w:noProof/>
          <w:color w:val="000000"/>
          <w:shd w:val="clear" w:color="auto" w:fill="FFFFFF"/>
          <w:vertAlign w:val="superscript"/>
        </w:rPr>
        <w:t> </w:t>
      </w:r>
      <w:r w:rsidRPr="00A362BE">
        <w:rPr>
          <w:rFonts w:ascii="Arial" w:hAnsi="Arial" w:cs="Arial"/>
          <w:noProof/>
          <w:color w:val="000000"/>
          <w:sz w:val="23"/>
          <w:szCs w:val="23"/>
        </w:rPr>
        <w:br/>
      </w:r>
      <w:r w:rsidRPr="00A362BE">
        <w:rPr>
          <w:rFonts w:ascii="Arial" w:hAnsi="Arial" w:cs="Arial"/>
          <w:noProof/>
          <w:color w:val="000000"/>
          <w:sz w:val="23"/>
          <w:szCs w:val="23"/>
        </w:rPr>
        <w:br/>
      </w:r>
      <w:r w:rsidRPr="00A362BE">
        <w:rPr>
          <w:rFonts w:ascii="Arial" w:hAnsi="Arial" w:cs="Arial"/>
          <w:noProof/>
          <w:color w:val="000000"/>
          <w:sz w:val="23"/>
          <w:szCs w:val="23"/>
          <w:shd w:val="clear" w:color="auto" w:fill="FFFFFF"/>
        </w:rPr>
        <w:t>Kidney transplant may be another option for patients with aHUS. However, outcomes after transplant are typically poor. Within the first year post transplant, 70% of patients develop graft failure, generally due to aHUS recurrence.</w:t>
      </w:r>
      <w:r w:rsidRPr="00A362BE">
        <w:rPr>
          <w:rFonts w:ascii="Arial" w:hAnsi="Arial" w:cs="Arial"/>
          <w:noProof/>
          <w:color w:val="000000"/>
          <w:shd w:val="clear" w:color="auto" w:fill="FFFFFF"/>
          <w:vertAlign w:val="superscript"/>
        </w:rPr>
        <w:t>1</w:t>
      </w:r>
      <w:r w:rsidRPr="00A362BE">
        <w:rPr>
          <w:rStyle w:val="apple-converted-space"/>
          <w:rFonts w:ascii="Arial" w:hAnsi="Arial" w:cs="Arial"/>
          <w:noProof/>
          <w:color w:val="000000"/>
          <w:sz w:val="23"/>
          <w:szCs w:val="23"/>
          <w:shd w:val="clear" w:color="auto" w:fill="FFFFFF"/>
        </w:rPr>
        <w:t> </w:t>
      </w:r>
      <w:r w:rsidRPr="00A362BE">
        <w:rPr>
          <w:rFonts w:ascii="Arial" w:hAnsi="Arial" w:cs="Arial"/>
          <w:noProof/>
          <w:color w:val="000000"/>
          <w:sz w:val="23"/>
          <w:szCs w:val="23"/>
          <w:shd w:val="clear" w:color="auto" w:fill="FFFFFF"/>
        </w:rPr>
        <w:t xml:space="preserve">Some evidence suggests that eculizumab may be an effective prophylactic treatment in patients who have undergone a kidney </w:t>
      </w:r>
      <w:r w:rsidRPr="00A362BE">
        <w:rPr>
          <w:rFonts w:ascii="Arial" w:hAnsi="Arial" w:cs="Arial"/>
          <w:noProof/>
          <w:color w:val="000000"/>
          <w:sz w:val="23"/>
          <w:szCs w:val="23"/>
          <w:shd w:val="clear" w:color="auto" w:fill="FFFFFF"/>
        </w:rPr>
        <w:lastRenderedPageBreak/>
        <w:t>transplant, and studies are ongoing in this setting.</w:t>
      </w:r>
      <w:r w:rsidRPr="00A362BE">
        <w:rPr>
          <w:rFonts w:ascii="Arial" w:hAnsi="Arial" w:cs="Arial"/>
          <w:noProof/>
          <w:color w:val="000000"/>
          <w:shd w:val="clear" w:color="auto" w:fill="FFFFFF"/>
          <w:vertAlign w:val="superscript"/>
        </w:rPr>
        <w:t>1,6</w:t>
      </w:r>
      <w:r w:rsidRPr="00A362BE">
        <w:rPr>
          <w:rFonts w:ascii="Arial" w:hAnsi="Arial" w:cs="Arial"/>
          <w:noProof/>
          <w:color w:val="000000"/>
          <w:sz w:val="23"/>
          <w:szCs w:val="23"/>
        </w:rPr>
        <w:br/>
      </w:r>
    </w:p>
    <w:p w:rsidR="00A362BE" w:rsidRPr="00A362BE" w:rsidRDefault="00A362BE" w:rsidP="00A362BE">
      <w:pPr>
        <w:pStyle w:val="Heading3"/>
        <w:shd w:val="clear" w:color="auto" w:fill="FFFFFF"/>
        <w:spacing w:line="300" w:lineRule="atLeast"/>
        <w:rPr>
          <w:rFonts w:ascii="Arial" w:hAnsi="Arial" w:cs="Arial"/>
          <w:noProof/>
          <w:color w:val="000000"/>
        </w:rPr>
      </w:pPr>
      <w:r w:rsidRPr="00A362BE">
        <w:rPr>
          <w:rStyle w:val="Strong"/>
          <w:rFonts w:ascii="Arial" w:hAnsi="Arial" w:cs="Arial"/>
          <w:b/>
          <w:bCs/>
          <w:noProof/>
          <w:color w:val="006400"/>
        </w:rPr>
        <w:t>References</w:t>
      </w:r>
    </w:p>
    <w:p w:rsidR="00A362BE" w:rsidRPr="00A362BE" w:rsidRDefault="00A362BE" w:rsidP="00A362BE">
      <w:pPr>
        <w:numPr>
          <w:ilvl w:val="0"/>
          <w:numId w:val="1"/>
        </w:numPr>
        <w:shd w:val="clear" w:color="auto" w:fill="FFFFFF"/>
        <w:spacing w:before="100" w:beforeAutospacing="1" w:after="100" w:afterAutospacing="1" w:line="300" w:lineRule="atLeast"/>
        <w:rPr>
          <w:rFonts w:ascii="Arial" w:hAnsi="Arial" w:cs="Arial"/>
          <w:noProof/>
          <w:color w:val="000000"/>
          <w:sz w:val="23"/>
          <w:szCs w:val="23"/>
        </w:rPr>
      </w:pPr>
      <w:r w:rsidRPr="00A362BE">
        <w:rPr>
          <w:rFonts w:ascii="Arial" w:hAnsi="Arial" w:cs="Arial"/>
          <w:noProof/>
          <w:color w:val="000000"/>
          <w:sz w:val="23"/>
          <w:szCs w:val="23"/>
        </w:rPr>
        <w:t>Kavanagh D, Goodship TH, Richards A. Atypical hemolytic uremic syndrome.</w:t>
      </w:r>
      <w:r w:rsidRPr="00A362BE">
        <w:rPr>
          <w:rStyle w:val="apple-converted-space"/>
          <w:rFonts w:ascii="Arial" w:hAnsi="Arial" w:cs="Arial"/>
          <w:noProof/>
          <w:color w:val="000000"/>
          <w:sz w:val="23"/>
          <w:szCs w:val="23"/>
        </w:rPr>
        <w:t> </w:t>
      </w:r>
      <w:r w:rsidRPr="00A362BE">
        <w:rPr>
          <w:rStyle w:val="Emphasis"/>
          <w:rFonts w:ascii="Arial" w:hAnsi="Arial" w:cs="Arial"/>
          <w:noProof/>
          <w:color w:val="000000"/>
          <w:sz w:val="23"/>
          <w:szCs w:val="23"/>
        </w:rPr>
        <w:t>Semin Nephrol</w:t>
      </w:r>
      <w:r w:rsidRPr="00A362BE">
        <w:rPr>
          <w:rFonts w:ascii="Arial" w:hAnsi="Arial" w:cs="Arial"/>
          <w:noProof/>
          <w:color w:val="000000"/>
          <w:sz w:val="23"/>
          <w:szCs w:val="23"/>
        </w:rPr>
        <w:t>. 2013;33:508-530.</w:t>
      </w:r>
    </w:p>
    <w:p w:rsidR="00A362BE" w:rsidRPr="00A362BE" w:rsidRDefault="00A362BE" w:rsidP="00A362BE">
      <w:pPr>
        <w:numPr>
          <w:ilvl w:val="0"/>
          <w:numId w:val="1"/>
        </w:numPr>
        <w:shd w:val="clear" w:color="auto" w:fill="FFFFFF"/>
        <w:spacing w:before="100" w:beforeAutospacing="1" w:after="100" w:afterAutospacing="1" w:line="300" w:lineRule="atLeast"/>
        <w:rPr>
          <w:rFonts w:ascii="Arial" w:hAnsi="Arial" w:cs="Arial"/>
          <w:noProof/>
          <w:color w:val="000000"/>
          <w:sz w:val="23"/>
          <w:szCs w:val="23"/>
        </w:rPr>
      </w:pPr>
      <w:r w:rsidRPr="00A362BE">
        <w:rPr>
          <w:rFonts w:ascii="Arial" w:hAnsi="Arial" w:cs="Arial"/>
          <w:noProof/>
          <w:color w:val="000000"/>
          <w:sz w:val="23"/>
          <w:szCs w:val="23"/>
        </w:rPr>
        <w:t>Ohanian M, Cable C, Halka K. Eculizumab safely reverses neurologic impairment and eliminates need for dialysis in severe atypical hemolytic uremic syndrome.</w:t>
      </w:r>
      <w:r w:rsidRPr="00A362BE">
        <w:rPr>
          <w:rStyle w:val="apple-converted-space"/>
          <w:rFonts w:ascii="Arial" w:hAnsi="Arial" w:cs="Arial"/>
          <w:noProof/>
          <w:color w:val="000000"/>
          <w:sz w:val="23"/>
          <w:szCs w:val="23"/>
        </w:rPr>
        <w:t> </w:t>
      </w:r>
      <w:r w:rsidRPr="00A362BE">
        <w:rPr>
          <w:rStyle w:val="Emphasis"/>
          <w:rFonts w:ascii="Arial" w:hAnsi="Arial" w:cs="Arial"/>
          <w:noProof/>
          <w:color w:val="000000"/>
          <w:sz w:val="23"/>
          <w:szCs w:val="23"/>
        </w:rPr>
        <w:t>Clin Pharmacol Adv Applications</w:t>
      </w:r>
      <w:r w:rsidRPr="00A362BE">
        <w:rPr>
          <w:rFonts w:ascii="Arial" w:hAnsi="Arial" w:cs="Arial"/>
          <w:noProof/>
          <w:color w:val="000000"/>
          <w:sz w:val="23"/>
          <w:szCs w:val="23"/>
        </w:rPr>
        <w:t>. 2011;3:5-12.</w:t>
      </w:r>
    </w:p>
    <w:p w:rsidR="00A362BE" w:rsidRPr="00A362BE" w:rsidRDefault="00A362BE" w:rsidP="00A362BE">
      <w:pPr>
        <w:numPr>
          <w:ilvl w:val="0"/>
          <w:numId w:val="1"/>
        </w:numPr>
        <w:shd w:val="clear" w:color="auto" w:fill="FFFFFF"/>
        <w:spacing w:before="100" w:beforeAutospacing="1" w:after="100" w:afterAutospacing="1" w:line="300" w:lineRule="atLeast"/>
        <w:rPr>
          <w:rFonts w:ascii="Arial" w:hAnsi="Arial" w:cs="Arial"/>
          <w:noProof/>
          <w:color w:val="000000"/>
          <w:sz w:val="23"/>
          <w:szCs w:val="23"/>
        </w:rPr>
      </w:pPr>
      <w:r w:rsidRPr="00A362BE">
        <w:rPr>
          <w:rFonts w:ascii="Arial" w:hAnsi="Arial" w:cs="Arial"/>
          <w:noProof/>
          <w:color w:val="000000"/>
          <w:sz w:val="23"/>
          <w:szCs w:val="23"/>
        </w:rPr>
        <w:t>Noris M, Remuzzi G. Atypical hemolytic-uremic syndrome.</w:t>
      </w:r>
      <w:r w:rsidRPr="00A362BE">
        <w:rPr>
          <w:rStyle w:val="apple-converted-space"/>
          <w:rFonts w:ascii="Arial" w:hAnsi="Arial" w:cs="Arial"/>
          <w:noProof/>
          <w:color w:val="000000"/>
          <w:sz w:val="23"/>
          <w:szCs w:val="23"/>
        </w:rPr>
        <w:t> </w:t>
      </w:r>
      <w:r w:rsidRPr="00A362BE">
        <w:rPr>
          <w:rStyle w:val="Emphasis"/>
          <w:rFonts w:ascii="Arial" w:hAnsi="Arial" w:cs="Arial"/>
          <w:noProof/>
          <w:color w:val="000000"/>
          <w:sz w:val="23"/>
          <w:szCs w:val="23"/>
        </w:rPr>
        <w:t>N Engl J Med</w:t>
      </w:r>
      <w:r w:rsidRPr="00A362BE">
        <w:rPr>
          <w:rFonts w:ascii="Arial" w:hAnsi="Arial" w:cs="Arial"/>
          <w:noProof/>
          <w:color w:val="000000"/>
          <w:sz w:val="23"/>
          <w:szCs w:val="23"/>
        </w:rPr>
        <w:t>. 2009;361:1676-1687.</w:t>
      </w:r>
    </w:p>
    <w:p w:rsidR="00A362BE" w:rsidRPr="00A362BE" w:rsidRDefault="00A362BE" w:rsidP="00A362BE">
      <w:pPr>
        <w:numPr>
          <w:ilvl w:val="0"/>
          <w:numId w:val="1"/>
        </w:numPr>
        <w:shd w:val="clear" w:color="auto" w:fill="FFFFFF"/>
        <w:spacing w:before="100" w:beforeAutospacing="1" w:after="100" w:afterAutospacing="1" w:line="300" w:lineRule="atLeast"/>
        <w:rPr>
          <w:rFonts w:ascii="Arial" w:hAnsi="Arial" w:cs="Arial"/>
          <w:noProof/>
          <w:color w:val="000000"/>
          <w:sz w:val="23"/>
          <w:szCs w:val="23"/>
        </w:rPr>
      </w:pPr>
      <w:r w:rsidRPr="00A362BE">
        <w:rPr>
          <w:rFonts w:ascii="Arial" w:hAnsi="Arial" w:cs="Arial"/>
          <w:noProof/>
          <w:color w:val="000000"/>
          <w:sz w:val="23"/>
          <w:szCs w:val="23"/>
        </w:rPr>
        <w:t>Rodriguez de Cordoba S, Hildago MS, Pinto S, Tortajada A. Genetics of atypical hemolytic uremic syndrome (aHUS).</w:t>
      </w:r>
      <w:r w:rsidRPr="00A362BE">
        <w:rPr>
          <w:rStyle w:val="apple-converted-space"/>
          <w:rFonts w:ascii="Arial" w:hAnsi="Arial" w:cs="Arial"/>
          <w:noProof/>
          <w:color w:val="000000"/>
          <w:sz w:val="23"/>
          <w:szCs w:val="23"/>
        </w:rPr>
        <w:t> </w:t>
      </w:r>
      <w:r w:rsidRPr="00A362BE">
        <w:rPr>
          <w:rStyle w:val="Emphasis"/>
          <w:rFonts w:ascii="Arial" w:hAnsi="Arial" w:cs="Arial"/>
          <w:noProof/>
          <w:color w:val="000000"/>
          <w:sz w:val="23"/>
          <w:szCs w:val="23"/>
        </w:rPr>
        <w:t>Semin Thromb Hemost</w:t>
      </w:r>
      <w:r w:rsidRPr="00A362BE">
        <w:rPr>
          <w:rFonts w:ascii="Arial" w:hAnsi="Arial" w:cs="Arial"/>
          <w:noProof/>
          <w:color w:val="000000"/>
          <w:sz w:val="23"/>
          <w:szCs w:val="23"/>
        </w:rPr>
        <w:t>. 2014;40:422-430.</w:t>
      </w:r>
    </w:p>
    <w:p w:rsidR="00A362BE" w:rsidRPr="00A362BE" w:rsidRDefault="00A362BE" w:rsidP="00A362BE">
      <w:pPr>
        <w:numPr>
          <w:ilvl w:val="0"/>
          <w:numId w:val="1"/>
        </w:numPr>
        <w:shd w:val="clear" w:color="auto" w:fill="FFFFFF"/>
        <w:spacing w:before="100" w:beforeAutospacing="1" w:after="100" w:afterAutospacing="1" w:line="300" w:lineRule="atLeast"/>
        <w:rPr>
          <w:rFonts w:ascii="Arial" w:hAnsi="Arial" w:cs="Arial"/>
          <w:noProof/>
          <w:color w:val="000000"/>
          <w:sz w:val="23"/>
          <w:szCs w:val="23"/>
        </w:rPr>
      </w:pPr>
      <w:r w:rsidRPr="00A362BE">
        <w:rPr>
          <w:rFonts w:ascii="Arial" w:hAnsi="Arial" w:cs="Arial"/>
          <w:noProof/>
          <w:color w:val="000000"/>
          <w:sz w:val="23"/>
          <w:szCs w:val="23"/>
        </w:rPr>
        <w:t>National Institutes of Health. Atypical hemolytic-uremic syndrome. http://ghr.nlm.nih.gov/condition/atypical-hemolytic-uremic-syndrome. Updated June 2010. Accessed February 8, 2015.</w:t>
      </w:r>
    </w:p>
    <w:p w:rsidR="00A362BE" w:rsidRPr="00A362BE" w:rsidRDefault="00A362BE" w:rsidP="00A362BE">
      <w:pPr>
        <w:numPr>
          <w:ilvl w:val="0"/>
          <w:numId w:val="1"/>
        </w:numPr>
        <w:shd w:val="clear" w:color="auto" w:fill="FFFFFF"/>
        <w:spacing w:before="100" w:beforeAutospacing="1" w:after="100" w:afterAutospacing="1" w:line="300" w:lineRule="atLeast"/>
        <w:rPr>
          <w:rFonts w:ascii="Arial" w:hAnsi="Arial" w:cs="Arial"/>
          <w:noProof/>
          <w:color w:val="000000"/>
          <w:sz w:val="23"/>
          <w:szCs w:val="23"/>
        </w:rPr>
      </w:pPr>
      <w:r w:rsidRPr="00A362BE">
        <w:rPr>
          <w:rFonts w:ascii="Arial" w:hAnsi="Arial" w:cs="Arial"/>
          <w:noProof/>
          <w:color w:val="000000"/>
          <w:sz w:val="23"/>
          <w:szCs w:val="23"/>
        </w:rPr>
        <w:t>Baskin E, Gulleroglu K, Kantar A, et al. Success of eculizumab in the treatment of atypical hemolytic uremic syndrome [published online November 11, 2014].</w:t>
      </w:r>
      <w:r w:rsidRPr="00A362BE">
        <w:rPr>
          <w:rStyle w:val="apple-converted-space"/>
          <w:rFonts w:ascii="Arial" w:hAnsi="Arial" w:cs="Arial"/>
          <w:noProof/>
          <w:color w:val="000000"/>
          <w:sz w:val="23"/>
          <w:szCs w:val="23"/>
        </w:rPr>
        <w:t> </w:t>
      </w:r>
      <w:r w:rsidRPr="00A362BE">
        <w:rPr>
          <w:rStyle w:val="Emphasis"/>
          <w:rFonts w:ascii="Arial" w:hAnsi="Arial" w:cs="Arial"/>
          <w:noProof/>
          <w:color w:val="000000"/>
          <w:sz w:val="23"/>
          <w:szCs w:val="23"/>
        </w:rPr>
        <w:t>Pediatr Nephrol</w:t>
      </w:r>
      <w:r w:rsidRPr="00A362BE">
        <w:rPr>
          <w:rFonts w:ascii="Arial" w:hAnsi="Arial" w:cs="Arial"/>
          <w:noProof/>
          <w:color w:val="000000"/>
          <w:sz w:val="23"/>
          <w:szCs w:val="23"/>
        </w:rPr>
        <w:t>. 2014. DOI 10.1007/s00467-014-3003-4.</w:t>
      </w:r>
    </w:p>
    <w:p w:rsidR="00A362BE" w:rsidRPr="00A362BE" w:rsidRDefault="00A362BE" w:rsidP="00A362BE">
      <w:pPr>
        <w:numPr>
          <w:ilvl w:val="0"/>
          <w:numId w:val="1"/>
        </w:numPr>
        <w:shd w:val="clear" w:color="auto" w:fill="FFFFFF"/>
        <w:spacing w:before="100" w:beforeAutospacing="1" w:after="100" w:afterAutospacing="1" w:line="300" w:lineRule="atLeast"/>
        <w:rPr>
          <w:rFonts w:ascii="Arial" w:hAnsi="Arial" w:cs="Arial"/>
          <w:noProof/>
          <w:color w:val="000000"/>
          <w:sz w:val="23"/>
          <w:szCs w:val="23"/>
        </w:rPr>
      </w:pPr>
      <w:r w:rsidRPr="00A362BE">
        <w:rPr>
          <w:rFonts w:ascii="Arial" w:hAnsi="Arial" w:cs="Arial"/>
          <w:noProof/>
          <w:color w:val="000000"/>
          <w:sz w:val="23"/>
          <w:szCs w:val="23"/>
        </w:rPr>
        <w:t>Laurence J. Atypical hemolytic uremic syndrome (aHUS): making the diagnosis.</w:t>
      </w:r>
      <w:r w:rsidRPr="00A362BE">
        <w:rPr>
          <w:rStyle w:val="apple-converted-space"/>
          <w:rFonts w:ascii="Arial" w:hAnsi="Arial" w:cs="Arial"/>
          <w:noProof/>
          <w:color w:val="000000"/>
          <w:sz w:val="23"/>
          <w:szCs w:val="23"/>
        </w:rPr>
        <w:t> </w:t>
      </w:r>
      <w:r w:rsidRPr="00A362BE">
        <w:rPr>
          <w:rStyle w:val="Emphasis"/>
          <w:rFonts w:ascii="Arial" w:hAnsi="Arial" w:cs="Arial"/>
          <w:noProof/>
          <w:color w:val="000000"/>
          <w:sz w:val="23"/>
          <w:szCs w:val="23"/>
        </w:rPr>
        <w:t>Clin Adv Hematol Oncol</w:t>
      </w:r>
      <w:r w:rsidRPr="00A362BE">
        <w:rPr>
          <w:rFonts w:ascii="Arial" w:hAnsi="Arial" w:cs="Arial"/>
          <w:noProof/>
          <w:color w:val="000000"/>
          <w:sz w:val="23"/>
          <w:szCs w:val="23"/>
        </w:rPr>
        <w:t>. 2012;10:1-12.</w:t>
      </w:r>
    </w:p>
    <w:p w:rsidR="00A362BE" w:rsidRPr="00A362BE" w:rsidRDefault="00A362BE" w:rsidP="00A362BE">
      <w:pPr>
        <w:numPr>
          <w:ilvl w:val="0"/>
          <w:numId w:val="1"/>
        </w:numPr>
        <w:shd w:val="clear" w:color="auto" w:fill="FFFFFF"/>
        <w:spacing w:before="100" w:beforeAutospacing="1" w:after="100" w:afterAutospacing="1" w:line="300" w:lineRule="atLeast"/>
        <w:rPr>
          <w:rFonts w:ascii="Arial" w:hAnsi="Arial" w:cs="Arial"/>
          <w:noProof/>
          <w:color w:val="000000"/>
          <w:sz w:val="23"/>
          <w:szCs w:val="23"/>
        </w:rPr>
      </w:pPr>
      <w:r w:rsidRPr="00A362BE">
        <w:rPr>
          <w:rFonts w:ascii="Arial" w:hAnsi="Arial" w:cs="Arial"/>
          <w:noProof/>
          <w:color w:val="000000"/>
          <w:sz w:val="23"/>
          <w:szCs w:val="23"/>
        </w:rPr>
        <w:t>Kaplan BS, Ruebner RL, Spinale JM, Copelovitch L. Current treatment of atypical hemolytic uremic syndrome.</w:t>
      </w:r>
      <w:r w:rsidRPr="00A362BE">
        <w:rPr>
          <w:rStyle w:val="apple-converted-space"/>
          <w:rFonts w:ascii="Arial" w:hAnsi="Arial" w:cs="Arial"/>
          <w:noProof/>
          <w:color w:val="000000"/>
          <w:sz w:val="23"/>
          <w:szCs w:val="23"/>
        </w:rPr>
        <w:t> </w:t>
      </w:r>
      <w:r w:rsidRPr="00A362BE">
        <w:rPr>
          <w:rStyle w:val="Emphasis"/>
          <w:rFonts w:ascii="Arial" w:hAnsi="Arial" w:cs="Arial"/>
          <w:noProof/>
          <w:color w:val="000000"/>
          <w:sz w:val="23"/>
          <w:szCs w:val="23"/>
        </w:rPr>
        <w:t>Intractable Rare Dis Res</w:t>
      </w:r>
      <w:r w:rsidRPr="00A362BE">
        <w:rPr>
          <w:rFonts w:ascii="Arial" w:hAnsi="Arial" w:cs="Arial"/>
          <w:noProof/>
          <w:color w:val="000000"/>
          <w:sz w:val="23"/>
          <w:szCs w:val="23"/>
        </w:rPr>
        <w:t>. 2014;3:34-45.</w:t>
      </w:r>
    </w:p>
    <w:p w:rsidR="00A362BE" w:rsidRPr="00A362BE" w:rsidRDefault="00A362BE" w:rsidP="00A362BE">
      <w:pPr>
        <w:numPr>
          <w:ilvl w:val="0"/>
          <w:numId w:val="1"/>
        </w:numPr>
        <w:shd w:val="clear" w:color="auto" w:fill="FFFFFF"/>
        <w:spacing w:before="100" w:beforeAutospacing="1" w:after="100" w:afterAutospacing="1" w:line="300" w:lineRule="atLeast"/>
        <w:rPr>
          <w:rFonts w:ascii="Arial" w:hAnsi="Arial" w:cs="Arial"/>
          <w:noProof/>
          <w:color w:val="000000"/>
          <w:sz w:val="23"/>
          <w:szCs w:val="23"/>
        </w:rPr>
      </w:pPr>
      <w:r w:rsidRPr="00A362BE">
        <w:rPr>
          <w:rFonts w:ascii="Arial" w:hAnsi="Arial" w:cs="Arial"/>
          <w:noProof/>
          <w:color w:val="000000"/>
          <w:sz w:val="23"/>
          <w:szCs w:val="23"/>
        </w:rPr>
        <w:t>Soliris [package insert]. Cheshire, CT: Alexion Pharmaceuticals, Inc; 2014.</w:t>
      </w:r>
    </w:p>
    <w:p w:rsidR="00A362BE" w:rsidRPr="00A362BE" w:rsidRDefault="00A362BE">
      <w:pPr>
        <w:rPr>
          <w:noProof/>
        </w:rPr>
      </w:pPr>
      <w:permStart w:id="0" w:edGrp="everyone"/>
      <w:permEnd w:id="0"/>
    </w:p>
    <w:sectPr w:rsidR="00A362BE" w:rsidRPr="00A362BE" w:rsidSect="009456E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25353"/>
    <w:multiLevelType w:val="multilevel"/>
    <w:tmpl w:val="BDB8E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WiHw4RfKJgT2XMkXGuVwzc74lE=" w:salt="1+tz71dY9CuqKwOKXbBK7A=="/>
  <w:defaultTabStop w:val="720"/>
  <w:characterSpacingControl w:val="doNotCompress"/>
  <w:compat>
    <w:useFELayout/>
  </w:compat>
  <w:rsids>
    <w:rsidRoot w:val="00A362BE"/>
    <w:rsid w:val="00452177"/>
    <w:rsid w:val="009456E5"/>
    <w:rsid w:val="00A36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6E5"/>
  </w:style>
  <w:style w:type="paragraph" w:styleId="Heading1">
    <w:name w:val="heading 1"/>
    <w:basedOn w:val="Normal"/>
    <w:link w:val="Heading1Char"/>
    <w:uiPriority w:val="9"/>
    <w:qFormat/>
    <w:rsid w:val="00A362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362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2BE"/>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A362BE"/>
  </w:style>
  <w:style w:type="paragraph" w:styleId="BalloonText">
    <w:name w:val="Balloon Text"/>
    <w:basedOn w:val="Normal"/>
    <w:link w:val="BalloonTextChar"/>
    <w:uiPriority w:val="99"/>
    <w:semiHidden/>
    <w:unhideWhenUsed/>
    <w:rsid w:val="00A36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2BE"/>
    <w:rPr>
      <w:rFonts w:ascii="Tahoma" w:hAnsi="Tahoma" w:cs="Tahoma"/>
      <w:sz w:val="16"/>
      <w:szCs w:val="16"/>
    </w:rPr>
  </w:style>
  <w:style w:type="character" w:customStyle="1" w:styleId="Heading3Char">
    <w:name w:val="Heading 3 Char"/>
    <w:basedOn w:val="DefaultParagraphFont"/>
    <w:link w:val="Heading3"/>
    <w:uiPriority w:val="9"/>
    <w:semiHidden/>
    <w:rsid w:val="00A362BE"/>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A362BE"/>
    <w:rPr>
      <w:i/>
      <w:iCs/>
    </w:rPr>
  </w:style>
  <w:style w:type="character" w:styleId="Strong">
    <w:name w:val="Strong"/>
    <w:basedOn w:val="DefaultParagraphFont"/>
    <w:uiPriority w:val="22"/>
    <w:qFormat/>
    <w:rsid w:val="00A362BE"/>
    <w:rPr>
      <w:b/>
      <w:bCs/>
    </w:rPr>
  </w:style>
</w:styles>
</file>

<file path=word/webSettings.xml><?xml version="1.0" encoding="utf-8"?>
<w:webSettings xmlns:r="http://schemas.openxmlformats.org/officeDocument/2006/relationships" xmlns:w="http://schemas.openxmlformats.org/wordprocessingml/2006/main">
  <w:divs>
    <w:div w:id="304049463">
      <w:bodyDiv w:val="1"/>
      <w:marLeft w:val="0"/>
      <w:marRight w:val="0"/>
      <w:marTop w:val="0"/>
      <w:marBottom w:val="0"/>
      <w:divBdr>
        <w:top w:val="none" w:sz="0" w:space="0" w:color="auto"/>
        <w:left w:val="none" w:sz="0" w:space="0" w:color="auto"/>
        <w:bottom w:val="none" w:sz="0" w:space="0" w:color="auto"/>
        <w:right w:val="none" w:sz="0" w:space="0" w:color="auto"/>
      </w:divBdr>
      <w:divsChild>
        <w:div w:id="2010406726">
          <w:marLeft w:val="0"/>
          <w:marRight w:val="0"/>
          <w:marTop w:val="0"/>
          <w:marBottom w:val="0"/>
          <w:divBdr>
            <w:top w:val="none" w:sz="0" w:space="0" w:color="auto"/>
            <w:left w:val="none" w:sz="0" w:space="0" w:color="auto"/>
            <w:bottom w:val="none" w:sz="0" w:space="0" w:color="auto"/>
            <w:right w:val="none" w:sz="0" w:space="0" w:color="auto"/>
          </w:divBdr>
        </w:div>
        <w:div w:id="610014376">
          <w:marLeft w:val="0"/>
          <w:marRight w:val="0"/>
          <w:marTop w:val="0"/>
          <w:marBottom w:val="0"/>
          <w:divBdr>
            <w:top w:val="none" w:sz="0" w:space="0" w:color="auto"/>
            <w:left w:val="none" w:sz="0" w:space="0" w:color="auto"/>
            <w:bottom w:val="none" w:sz="0" w:space="0" w:color="auto"/>
            <w:right w:val="none" w:sz="0" w:space="0" w:color="auto"/>
          </w:divBdr>
        </w:div>
      </w:divsChild>
    </w:div>
    <w:div w:id="843209849">
      <w:bodyDiv w:val="1"/>
      <w:marLeft w:val="0"/>
      <w:marRight w:val="0"/>
      <w:marTop w:val="0"/>
      <w:marBottom w:val="0"/>
      <w:divBdr>
        <w:top w:val="none" w:sz="0" w:space="0" w:color="auto"/>
        <w:left w:val="none" w:sz="0" w:space="0" w:color="auto"/>
        <w:bottom w:val="none" w:sz="0" w:space="0" w:color="auto"/>
        <w:right w:val="none" w:sz="0" w:space="0" w:color="auto"/>
      </w:divBdr>
    </w:div>
    <w:div w:id="188004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5107</Characters>
  <Application>Microsoft Office Word</Application>
  <DocSecurity>8</DocSecurity>
  <Lines>42</Lines>
  <Paragraphs>11</Paragraphs>
  <ScaleCrop>false</ScaleCrop>
  <Company/>
  <LinksUpToDate>false</LinksUpToDate>
  <CharactersWithSpaces>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2015-03-10T03:02:00Z</dcterms:created>
  <dcterms:modified xsi:type="dcterms:W3CDTF">2015-03-12T00:43:00Z</dcterms:modified>
</cp:coreProperties>
</file>